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360" w:after="120"/>
        <w:ind w:left="425" w:hanging="0"/>
        <w:jc w:val="center"/>
        <w:rPr>
          <w:rFonts w:ascii="Times New Roman" w:hAnsi="Times New Roman" w:eastAsia="Calibri"/>
          <w:b/>
          <w:caps/>
          <w:szCs w:val="24"/>
        </w:rPr>
      </w:pPr>
      <w:r>
        <w:rPr>
          <w:rFonts w:eastAsia="Calibri" w:ascii="Times New Roman" w:hAnsi="Times New Roman"/>
          <w:b/>
          <w:caps/>
          <w:szCs w:val="24"/>
        </w:rPr>
        <w:t>ОБОСНОВАНИЕ начальной (максимальной) цены договора</w:t>
      </w:r>
      <w:r>
        <w:rPr>
          <w:rFonts w:eastAsia="Calibri" w:ascii="Times New Roman" w:hAnsi="Times New Roman"/>
          <w:sz w:val="26"/>
          <w:szCs w:val="26"/>
        </w:rPr>
        <w:t xml:space="preserve"> / </w:t>
      </w:r>
      <w:r>
        <w:rPr>
          <w:rFonts w:eastAsia="Calibri" w:ascii="Times New Roman" w:hAnsi="Times New Roman"/>
          <w:b/>
          <w:caps/>
          <w:szCs w:val="24"/>
        </w:rPr>
        <w:t>цены единицы товара, работы, услуги</w:t>
      </w:r>
    </w:p>
    <w:p>
      <w:pPr>
        <w:pStyle w:val="Normal"/>
        <w:spacing w:lineRule="exact" w:line="360" w:before="120" w:after="0"/>
        <w:jc w:val="both"/>
        <w:rPr>
          <w:rFonts w:ascii="Times New Roman" w:hAnsi="Times New Roman" w:eastAsia="Calibri"/>
          <w:i/>
          <w:i/>
          <w:sz w:val="26"/>
          <w:szCs w:val="26"/>
          <w:highlight w:val="yellow"/>
        </w:rPr>
      </w:pPr>
      <w:r>
        <w:rPr>
          <w:rFonts w:eastAsia="Calibri" w:ascii="Times New Roman" w:hAnsi="Times New Roman"/>
          <w:i/>
          <w:sz w:val="26"/>
          <w:szCs w:val="26"/>
          <w:highlight w:val="yellow"/>
        </w:rPr>
      </w:r>
    </w:p>
    <w:p>
      <w:pPr>
        <w:pStyle w:val="Normal"/>
        <w:numPr>
          <w:ilvl w:val="0"/>
          <w:numId w:val="2"/>
        </w:numPr>
        <w:spacing w:lineRule="exact" w:line="360" w:before="120" w:after="120"/>
        <w:ind w:left="714" w:hanging="357"/>
        <w:jc w:val="both"/>
        <w:rPr>
          <w:rFonts w:ascii="Times New Roman" w:hAnsi="Times New Roman" w:eastAsia="Calibri"/>
          <w:b/>
          <w:sz w:val="26"/>
          <w:szCs w:val="26"/>
        </w:rPr>
      </w:pPr>
      <w:r>
        <w:rPr>
          <w:rFonts w:eastAsia="Calibri" w:ascii="Times New Roman" w:hAnsi="Times New Roman"/>
          <w:b/>
          <w:sz w:val="26"/>
          <w:szCs w:val="26"/>
        </w:rPr>
        <w:t>Общая информация</w:t>
      </w:r>
    </w:p>
    <w:tbl>
      <w:tblPr>
        <w:tblStyle w:val="1"/>
        <w:tblW w:w="10530" w:type="dxa"/>
        <w:jc w:val="left"/>
        <w:tblInd w:w="-72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705"/>
        <w:gridCol w:w="2609"/>
        <w:gridCol w:w="7216"/>
      </w:tblGrid>
      <w:tr>
        <w:trPr/>
        <w:tc>
          <w:tcPr>
            <w:tcW w:w="705" w:type="dxa"/>
            <w:tcBorders/>
          </w:tcPr>
          <w:p>
            <w:pPr>
              <w:pStyle w:val="Normal"/>
              <w:widowControl w:val="false"/>
              <w:suppressAutoHyphens w:val="true"/>
              <w:spacing w:lineRule="exact" w:line="360" w:before="120" w:after="0"/>
              <w:contextualSpacing/>
              <w:jc w:val="center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№ </w:t>
            </w: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п/п</w:t>
            </w:r>
          </w:p>
        </w:tc>
        <w:tc>
          <w:tcPr>
            <w:tcW w:w="2609" w:type="dxa"/>
            <w:tcBorders/>
          </w:tcPr>
          <w:p>
            <w:pPr>
              <w:pStyle w:val="Normal"/>
              <w:widowControl w:val="false"/>
              <w:suppressAutoHyphens w:val="true"/>
              <w:spacing w:lineRule="exact" w:line="360" w:before="120" w:after="0"/>
              <w:contextualSpacing/>
              <w:jc w:val="center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Наименование</w:t>
            </w:r>
          </w:p>
        </w:tc>
        <w:tc>
          <w:tcPr>
            <w:tcW w:w="7216" w:type="dxa"/>
            <w:tcBorders/>
          </w:tcPr>
          <w:p>
            <w:pPr>
              <w:pStyle w:val="Normal"/>
              <w:widowControl w:val="false"/>
              <w:suppressAutoHyphens w:val="true"/>
              <w:spacing w:lineRule="exact" w:line="360" w:before="120" w:after="0"/>
              <w:contextualSpacing/>
              <w:jc w:val="center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Информация по лоту</w:t>
            </w:r>
          </w:p>
        </w:tc>
      </w:tr>
      <w:tr>
        <w:trPr/>
        <w:tc>
          <w:tcPr>
            <w:tcW w:w="705" w:type="dxa"/>
            <w:tcBorders/>
          </w:tcPr>
          <w:p>
            <w:pPr>
              <w:pStyle w:val="Normal"/>
              <w:widowControl w:val="false"/>
              <w:numPr>
                <w:ilvl w:val="1"/>
                <w:numId w:val="2"/>
              </w:numPr>
              <w:suppressAutoHyphens w:val="true"/>
              <w:spacing w:lineRule="exact" w:line="360" w:before="120" w:after="120"/>
              <w:ind w:left="0" w:hanging="0"/>
              <w:contextualSpacing/>
              <w:jc w:val="center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609" w:type="dxa"/>
            <w:tcBorders/>
          </w:tcPr>
          <w:p>
            <w:pPr>
              <w:pStyle w:val="Normal"/>
              <w:widowControl w:val="false"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Наименование лота</w:t>
            </w:r>
          </w:p>
        </w:tc>
        <w:tc>
          <w:tcPr>
            <w:tcW w:w="7216" w:type="dxa"/>
            <w:tcBorders/>
          </w:tcPr>
          <w:p>
            <w:pPr>
              <w:pStyle w:val="Normal"/>
              <w:widowControl w:val="false"/>
              <w:suppressAutoHyphens w:val="true"/>
              <w:spacing w:lineRule="exact" w:line="360" w:before="60" w:after="60"/>
              <w:jc w:val="both"/>
              <w:rPr>
                <w:rFonts w:ascii="Times New Roman" w:hAnsi="Times New Roman" w:eastAsia="Times New Roman"/>
                <w:sz w:val="20"/>
                <w:shd w:fill="FFFF99" w:val="clear"/>
                <w:lang w:eastAsia="ru-RU"/>
              </w:rPr>
            </w:pPr>
            <w:r>
              <w:rPr>
                <w:rFonts w:ascii="Times New Roman" w:hAnsi="Times New Roman"/>
                <w:kern w:val="0"/>
                <w:szCs w:val="24"/>
                <w:lang w:val="ru-RU" w:eastAsia="en-US" w:bidi="ar-SA"/>
              </w:rPr>
              <w:t>ОКПД2 19.20.29.160 Поставка горюче-смазочных материалов для нужд филиала ПАО "РусГидро"-"Воткинская ГЭС"</w:t>
            </w:r>
          </w:p>
        </w:tc>
      </w:tr>
      <w:tr>
        <w:trPr>
          <w:trHeight w:val="675" w:hRule="atLeast"/>
        </w:trPr>
        <w:tc>
          <w:tcPr>
            <w:tcW w:w="705" w:type="dxa"/>
            <w:tcBorders/>
          </w:tcPr>
          <w:p>
            <w:pPr>
              <w:pStyle w:val="Normal"/>
              <w:widowControl w:val="false"/>
              <w:numPr>
                <w:ilvl w:val="1"/>
                <w:numId w:val="2"/>
              </w:numPr>
              <w:suppressAutoHyphens w:val="true"/>
              <w:spacing w:lineRule="exact" w:line="360" w:before="120" w:after="120"/>
              <w:ind w:left="0" w:hanging="0"/>
              <w:contextualSpacing/>
              <w:jc w:val="center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609" w:type="dxa"/>
            <w:tcBorders/>
          </w:tcPr>
          <w:p>
            <w:pPr>
              <w:pStyle w:val="Normal"/>
              <w:widowControl w:val="false"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Номер лота</w:t>
            </w:r>
          </w:p>
        </w:tc>
        <w:tc>
          <w:tcPr>
            <w:tcW w:w="7216" w:type="dxa"/>
            <w:tcBorders/>
          </w:tcPr>
          <w:p>
            <w:pPr>
              <w:pStyle w:val="Normal"/>
              <w:widowControl w:val="false"/>
              <w:suppressAutoHyphens w:val="true"/>
              <w:spacing w:lineRule="exact" w:line="360" w:before="60" w:after="60"/>
              <w:jc w:val="both"/>
              <w:rPr>
                <w:rFonts w:ascii="Times New Roman" w:hAnsi="Times New Roman" w:eastAsia="Times New Roman"/>
                <w:i/>
                <w:i/>
                <w:sz w:val="20"/>
                <w:shd w:fill="FFFF99" w:val="clear"/>
                <w:lang w:eastAsia="ru-RU"/>
              </w:rPr>
            </w:pPr>
            <w:r>
              <w:rPr>
                <w:rFonts w:eastAsia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№ </w:t>
            </w:r>
            <w:r>
              <w:rPr>
                <w:rFonts w:eastAsia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30-ЭКСП-БПД-2026-ВотГЭС</w:t>
            </w:r>
          </w:p>
        </w:tc>
      </w:tr>
      <w:tr>
        <w:trPr/>
        <w:tc>
          <w:tcPr>
            <w:tcW w:w="705" w:type="dxa"/>
            <w:tcBorders/>
          </w:tcPr>
          <w:p>
            <w:pPr>
              <w:pStyle w:val="Normal"/>
              <w:widowControl w:val="false"/>
              <w:numPr>
                <w:ilvl w:val="1"/>
                <w:numId w:val="2"/>
              </w:numPr>
              <w:suppressAutoHyphens w:val="true"/>
              <w:spacing w:lineRule="exact" w:line="360" w:before="120" w:after="120"/>
              <w:ind w:left="0" w:hanging="0"/>
              <w:contextualSpacing/>
              <w:jc w:val="center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609" w:type="dxa"/>
            <w:tcBorders/>
          </w:tcPr>
          <w:p>
            <w:pPr>
              <w:pStyle w:val="Normal"/>
              <w:widowControl w:val="false"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НМЦ лота</w:t>
            </w:r>
          </w:p>
        </w:tc>
        <w:tc>
          <w:tcPr>
            <w:tcW w:w="7216" w:type="dxa"/>
            <w:tcBorders/>
          </w:tcPr>
          <w:p>
            <w:pPr>
              <w:pStyle w:val="Normal"/>
              <w:widowControl w:val="false"/>
              <w:suppressAutoHyphens w:val="true"/>
              <w:spacing w:lineRule="exact" w:line="360" w:before="60" w:after="60"/>
              <w:jc w:val="both"/>
              <w:rPr>
                <w:rFonts w:ascii="Times New Roman" w:hAnsi="Times New Roman" w:eastAsia="Times New Roman"/>
                <w:i/>
                <w:i/>
                <w:sz w:val="20"/>
                <w:shd w:fill="FFFF99" w:val="clear"/>
                <w:lang w:eastAsia="ru-RU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2 813 518,48 рублей без учета НДС</w:t>
            </w:r>
          </w:p>
        </w:tc>
      </w:tr>
    </w:tbl>
    <w:p>
      <w:pPr>
        <w:pStyle w:val="Normal"/>
        <w:numPr>
          <w:ilvl w:val="0"/>
          <w:numId w:val="2"/>
        </w:numPr>
        <w:spacing w:lineRule="exact" w:line="360" w:before="120" w:after="120"/>
        <w:ind w:left="0" w:hanging="0"/>
        <w:jc w:val="both"/>
        <w:rPr>
          <w:rFonts w:ascii="Times New Roman" w:hAnsi="Times New Roman" w:eastAsia="Calibri"/>
          <w:b/>
          <w:sz w:val="26"/>
          <w:szCs w:val="26"/>
        </w:rPr>
      </w:pPr>
      <w:r>
        <w:rPr>
          <w:rFonts w:eastAsia="Calibri" w:ascii="Times New Roman" w:hAnsi="Times New Roman"/>
          <w:b/>
          <w:sz w:val="26"/>
          <w:szCs w:val="26"/>
        </w:rPr>
        <w:t>Использованный метод (методы) расчета НМЦ / цены единицы товара, работы, услуги:</w:t>
      </w:r>
    </w:p>
    <w:p>
      <w:pPr>
        <w:pStyle w:val="Normal"/>
        <w:spacing w:before="0" w:after="0"/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</w:r>
    </w:p>
    <w:p>
      <w:pPr>
        <w:pStyle w:val="Normal"/>
        <w:spacing w:before="0" w:after="120"/>
        <w:jc w:val="both"/>
        <w:rPr>
          <w:rFonts w:ascii="Times New Roman" w:hAnsi="Times New Roman" w:eastAsia="Calibri"/>
          <w:b/>
          <w:sz w:val="26"/>
          <w:szCs w:val="26"/>
        </w:rPr>
      </w:pPr>
      <w:r>
        <w:rPr>
          <w:rFonts w:eastAsia="Calibri" w:ascii="Times New Roman" w:hAnsi="Times New Roman"/>
          <w:b/>
          <w:sz w:val="26"/>
          <w:szCs w:val="26"/>
        </w:rPr>
        <w:t>Метод анализа технико-коммерческих предложений</w:t>
      </w:r>
    </w:p>
    <w:p>
      <w:pPr>
        <w:pStyle w:val="Normal"/>
        <w:spacing w:before="0" w:after="120"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  <w:t>Обоснование расчета НМЦ:</w:t>
      </w:r>
    </w:p>
    <w:tbl>
      <w:tblPr>
        <w:tblW w:w="10490" w:type="dxa"/>
        <w:jc w:val="left"/>
        <w:tblInd w:w="-72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2279"/>
        <w:gridCol w:w="2153"/>
        <w:gridCol w:w="2236"/>
        <w:gridCol w:w="1984"/>
        <w:gridCol w:w="1838"/>
      </w:tblGrid>
      <w:tr>
        <w:trPr>
          <w:trHeight w:val="70" w:hRule="atLeast"/>
        </w:trPr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0"/>
                <w:lang w:eastAsia="ru-RU"/>
              </w:rPr>
              <w:t>Наименование товара/ работы/ услуги в составе лота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ind w:firstLine="2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0"/>
                <w:lang w:eastAsia="ru-RU"/>
              </w:rPr>
              <w:t>Наименование источника ценовой информации (ИЦИ)</w:t>
            </w: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0"/>
                <w:lang w:eastAsia="ru-RU"/>
              </w:rPr>
              <w:t>Цена из соответствующего ИЦИ, в руб. без НДС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0"/>
                <w:lang w:eastAsia="ru-RU"/>
              </w:rPr>
              <w:t>Цена итоговая, в руб. без НДС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0"/>
                <w:lang w:eastAsia="ru-RU"/>
              </w:rPr>
              <w:t>Комментарии</w:t>
            </w:r>
          </w:p>
        </w:tc>
      </w:tr>
      <w:tr>
        <w:trPr>
          <w:trHeight w:val="836" w:hRule="atLeast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i/>
                <w:i/>
                <w:sz w:val="20"/>
                <w:shd w:fill="FFFF99" w:val="clear"/>
                <w:lang w:eastAsia="ru-RU"/>
              </w:rPr>
            </w:pPr>
            <w:r>
              <w:rPr>
                <w:rFonts w:ascii="Times New Roman" w:hAnsi="Times New Roman"/>
                <w:szCs w:val="24"/>
              </w:rPr>
              <w:t>ОКПД2 19.20.29.160 Поставка горюче-смазочных материалов для нужд филиала ПАО "РусГидро"-"Воткинская ГЭС"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</w:rPr>
              <w:t>2 </w:t>
            </w:r>
            <w:r>
              <w:rPr>
                <w:rFonts w:ascii="Times New Roman" w:hAnsi="Times New Roman"/>
                <w:szCs w:val="24"/>
                <w:lang w:val="en-US"/>
              </w:rPr>
              <w:t>784</w:t>
            </w:r>
            <w:r>
              <w:rPr>
                <w:rFonts w:ascii="Times New Roman" w:hAnsi="Times New Roman"/>
                <w:szCs w:val="24"/>
              </w:rPr>
              <w:t> </w:t>
            </w:r>
            <w:r>
              <w:rPr>
                <w:rFonts w:ascii="Times New Roman" w:hAnsi="Times New Roman"/>
                <w:szCs w:val="24"/>
                <w:lang w:val="en-US"/>
              </w:rPr>
              <w:t>909</w:t>
            </w:r>
            <w:r>
              <w:rPr>
                <w:rFonts w:ascii="Times New Roman" w:hAnsi="Times New Roman"/>
                <w:szCs w:val="24"/>
              </w:rPr>
              <w:t>,8</w:t>
            </w:r>
            <w:r>
              <w:rPr>
                <w:rFonts w:ascii="Times New Roman" w:hAnsi="Times New Roman"/>
                <w:szCs w:val="24"/>
                <w:lang w:val="en-US"/>
              </w:rPr>
              <w:t>3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2 813 518,48</w:t>
            </w:r>
          </w:p>
        </w:tc>
        <w:tc>
          <w:tcPr>
            <w:tcW w:w="18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989" w:hRule="atLeast"/>
        </w:trPr>
        <w:tc>
          <w:tcPr>
            <w:tcW w:w="227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ТКП № 2 </w:t>
            </w: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2 714 105,60</w:t>
            </w:r>
          </w:p>
        </w:tc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eastAsia="ru-RU"/>
              </w:rPr>
            </w:r>
          </w:p>
        </w:tc>
        <w:tc>
          <w:tcPr>
            <w:tcW w:w="18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989" w:hRule="atLeast"/>
        </w:trPr>
        <w:tc>
          <w:tcPr>
            <w:tcW w:w="227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1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2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</w:t>
            </w:r>
            <w:r>
              <w:rPr>
                <w:rFonts w:ascii="Times New Roman" w:hAnsi="Times New Roman"/>
                <w:lang w:val="en-US"/>
              </w:rPr>
              <w:t>941</w:t>
            </w:r>
            <w:r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  <w:lang w:val="en-US"/>
              </w:rPr>
              <w:t>540</w:t>
            </w:r>
            <w:r>
              <w:rPr>
                <w:rFonts w:ascii="Times New Roman" w:hAnsi="Times New Roman"/>
              </w:rPr>
              <w:t>,00</w:t>
            </w:r>
          </w:p>
        </w:tc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eastAsia="ru-RU"/>
              </w:rPr>
            </w:r>
          </w:p>
        </w:tc>
        <w:tc>
          <w:tcPr>
            <w:tcW w:w="183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</w:tbl>
    <w:p>
      <w:pPr>
        <w:pStyle w:val="Normal"/>
        <w:rPr>
          <w:rFonts w:ascii="Times New Roman" w:hAnsi="Times New Roman" w:eastAsia="Times New Roman" w:cs="Times New Roman (???????? ?????"/>
          <w:color w:val="000000"/>
          <w:sz w:val="26"/>
          <w:szCs w:val="24"/>
        </w:rPr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Geneva CY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502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10"/>
  <w:trackRevisions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  <w:documentProtection w:edit="trackedChanges" w:enforcement="1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43067d"/>
    <w:pPr>
      <w:widowControl/>
      <w:suppressAutoHyphens w:val="true"/>
      <w:bidi w:val="0"/>
      <w:spacing w:before="0" w:after="0"/>
      <w:jc w:val="left"/>
    </w:pPr>
    <w:rPr>
      <w:rFonts w:ascii="Geneva CY" w:hAnsi="Geneva CY" w:eastAsia="Geneva" w:cs="Times New Roman"/>
      <w:color w:val="auto"/>
      <w:kern w:val="0"/>
      <w:sz w:val="24"/>
      <w:szCs w:val="20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Символ сноски"/>
    <w:qFormat/>
    <w:rPr/>
  </w:style>
  <w:style w:type="character" w:styleId="Style10" w:customStyle="1">
    <w:name w:val="Символ концевой сноски"/>
    <w:qFormat/>
    <w:rPr/>
  </w:style>
  <w:style w:type="character" w:styleId="Hyperlink">
    <w:name w:val="Hyperlink"/>
    <w:rPr>
      <w:color w:val="000080"/>
      <w:u w:val="single"/>
    </w:rPr>
  </w:style>
  <w:style w:type="character" w:styleId="FollowedHyperlink">
    <w:name w:val="FollowedHyperlink"/>
    <w:rPr>
      <w:color w:val="800000"/>
      <w:u w:val="single"/>
    </w:rPr>
  </w:style>
  <w:style w:type="paragraph" w:styleId="Style11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2">
    <w:name w:val="Указатель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Cs w:val="24"/>
    </w:rPr>
  </w:style>
  <w:style w:type="paragraph" w:styleId="Indexheading">
    <w:name w:val="index heading"/>
    <w:basedOn w:val="Normal"/>
    <w:qFormat/>
    <w:pPr>
      <w:suppressLineNumbers/>
    </w:pPr>
    <w:rPr/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i/>
      <w:iCs/>
      <w:szCs w:val="24"/>
    </w:rPr>
  </w:style>
  <w:style w:type="paragraph" w:styleId="Style13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14" w:customStyle="1">
    <w:name w:val="Заголовок таблицы"/>
    <w:basedOn w:val="Style13"/>
    <w:qFormat/>
    <w:pPr>
      <w:jc w:val="center"/>
    </w:pPr>
    <w:rPr>
      <w:b/>
      <w:bCs/>
    </w:rPr>
  </w:style>
  <w:style w:type="paragraph" w:styleId="Caption111" w:customStyle="1">
    <w:name w:val="caption111"/>
    <w:basedOn w:val="Normal"/>
    <w:qFormat/>
    <w:pPr>
      <w:suppressLineNumbers/>
      <w:spacing w:before="120" w:after="120"/>
    </w:pPr>
    <w:rPr>
      <w:i/>
      <w:iCs/>
      <w:szCs w:val="24"/>
    </w:rPr>
  </w:style>
  <w:style w:type="paragraph" w:styleId="Style15" w:customStyle="1">
    <w:name w:val="Содержимое списка"/>
    <w:basedOn w:val="Normal"/>
    <w:qFormat/>
    <w:pPr>
      <w:ind w:left="567" w:hanging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43067d"/>
    <w:pPr>
      <w:jc w:val="both"/>
    </w:pPr>
    <w:rPr>
      <w:sz w:val="26"/>
      <w:szCs w:val="26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af">
    <w:name w:val="Table Grid"/>
    <w:basedOn w:val="a1"/>
    <w:uiPriority w:val="39"/>
    <w:rsid w:val="0043067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Application>AlterOffice/3.4.0.9$Linux_X86_64 LibreOffice_project/b8daf9e823b1a5463a2f48435ddc2e8696e7d4fc</Application>
  <AppVersion>15.0000</AppVersion>
  <Pages>1</Pages>
  <Words>130</Words>
  <Characters>803</Characters>
  <CharactersWithSpaces>902</CharactersWithSpaces>
  <Paragraphs>31</Paragraphs>
  <Company>РусГидро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2026-04-28T11:25:00Z</dcterms:created>
  <dc:creator>Спиридонов Александр Геннадьевич</dc:creator>
  <dc:description/>
  <dc:language>ru-RU</dc:language>
  <cp:lastModifiedBy>gaynanovdf@corp.gidroogk.com</cp:lastModifiedBy>
  <dcterms:modified xsi:type="dcterms:W3CDTF">2026-07-30T11:35:19Z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